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F6C9" w14:textId="387E3B19" w:rsidR="00481AC4" w:rsidRPr="005A7A94" w:rsidRDefault="00D34A44" w:rsidP="00D34A44">
      <w:pPr>
        <w:rPr>
          <w:rFonts w:ascii="Amasis MT Pro Medium" w:hAnsi="Amasis MT Pro Medium"/>
        </w:rPr>
      </w:pPr>
      <w:r>
        <w:rPr>
          <w:rFonts w:ascii="Amasis MT Pro Medium" w:hAnsi="Amasis MT Pro Medium"/>
          <w:noProof/>
        </w:rPr>
        <w:drawing>
          <wp:inline distT="0" distB="0" distL="0" distR="0" wp14:anchorId="664E3390" wp14:editId="2E2D80C4">
            <wp:extent cx="2001982" cy="1334654"/>
            <wp:effectExtent l="0" t="0" r="0" b="0"/>
            <wp:docPr id="53715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5905" name="Picture 537159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5858" cy="1343905"/>
                    </a:xfrm>
                    <a:prstGeom prst="rect">
                      <a:avLst/>
                    </a:prstGeom>
                  </pic:spPr>
                </pic:pic>
              </a:graphicData>
            </a:graphic>
          </wp:inline>
        </w:drawing>
      </w:r>
      <w:r w:rsidR="00481AC4" w:rsidRPr="005A7A94">
        <w:rPr>
          <w:rFonts w:ascii="Amasis MT Pro Medium" w:hAnsi="Amasis MT Pro Medium"/>
          <w:b/>
          <w:bCs/>
        </w:rPr>
        <w:t xml:space="preserve">CLEANING </w:t>
      </w:r>
      <w:r w:rsidR="00481AC4" w:rsidRPr="00D761A4">
        <w:rPr>
          <w:rFonts w:ascii="Amasis MT Pro Medium" w:hAnsi="Amasis MT Pro Medium"/>
          <w:b/>
          <w:bCs/>
          <w:color w:val="000000" w:themeColor="text1"/>
        </w:rPr>
        <w:t xml:space="preserve">SERVICES </w:t>
      </w:r>
      <w:r w:rsidR="00481AC4" w:rsidRPr="005A7A94">
        <w:rPr>
          <w:rFonts w:ascii="Amasis MT Pro Medium" w:hAnsi="Amasis MT Pro Medium"/>
          <w:b/>
          <w:bCs/>
        </w:rPr>
        <w:t>AGREEMENT</w:t>
      </w:r>
    </w:p>
    <w:p w14:paraId="50FEBE14" w14:textId="7041A184" w:rsidR="00481AC4" w:rsidRPr="006F0B3A" w:rsidRDefault="00481AC4" w:rsidP="006F0B3A">
      <w:pPr>
        <w:pStyle w:val="ListParagraph"/>
        <w:rPr>
          <w:rFonts w:ascii="Amasis MT Pro Medium" w:hAnsi="Amasis MT Pro Medium"/>
        </w:rPr>
      </w:pPr>
      <w:r w:rsidRPr="00481AC4">
        <w:rPr>
          <w:rFonts w:ascii="Amasis MT Pro Medium" w:hAnsi="Amasis MT Pro Medium"/>
        </w:rPr>
        <w:t xml:space="preserve">This Service Agreement is entered into on </w:t>
      </w:r>
      <w:r w:rsidR="009544F9">
        <w:rPr>
          <w:rFonts w:ascii="Amasis MT Pro Medium" w:hAnsi="Amasis MT Pro Medium"/>
          <w:b/>
          <w:bCs/>
        </w:rPr>
        <w:t xml:space="preserve">                    </w:t>
      </w:r>
      <w:r w:rsidR="006F0B3A">
        <w:rPr>
          <w:rFonts w:ascii="Amasis MT Pro Medium" w:hAnsi="Amasis MT Pro Medium"/>
          <w:b/>
          <w:bCs/>
        </w:rPr>
        <w:t xml:space="preserve">          </w:t>
      </w:r>
      <w:proofErr w:type="gramStart"/>
      <w:r w:rsidR="006F0B3A">
        <w:rPr>
          <w:rFonts w:ascii="Amasis MT Pro Medium" w:hAnsi="Amasis MT Pro Medium"/>
          <w:b/>
          <w:bCs/>
        </w:rPr>
        <w:t xml:space="preserve"> </w:t>
      </w:r>
      <w:r w:rsidR="009544F9">
        <w:rPr>
          <w:rFonts w:ascii="Amasis MT Pro Medium" w:hAnsi="Amasis MT Pro Medium"/>
          <w:b/>
          <w:bCs/>
        </w:rPr>
        <w:t xml:space="preserve"> </w:t>
      </w:r>
      <w:r w:rsidRPr="00481AC4">
        <w:rPr>
          <w:rFonts w:ascii="Amasis MT Pro Medium" w:hAnsi="Amasis MT Pro Medium"/>
        </w:rPr>
        <w:t>,</w:t>
      </w:r>
      <w:proofErr w:type="gramEnd"/>
      <w:r w:rsidRPr="00481AC4">
        <w:rPr>
          <w:rFonts w:ascii="Amasis MT Pro Medium" w:hAnsi="Amasis MT Pro Medium"/>
        </w:rPr>
        <w:t xml:space="preserve"> between:</w:t>
      </w:r>
      <w:r w:rsidRPr="006F0B3A">
        <w:rPr>
          <w:rFonts w:ascii="Amasis MT Pro Medium" w:hAnsi="Amasis MT Pro Medium"/>
        </w:rPr>
        <w:br/>
      </w:r>
      <w:r w:rsidR="00516D3F" w:rsidRPr="006F0B3A">
        <w:rPr>
          <w:rFonts w:ascii="Amasis MT Pro Medium" w:hAnsi="Amasis MT Pro Medium"/>
          <w:b/>
          <w:bCs/>
        </w:rPr>
        <w:t xml:space="preserve">The Clean Sort </w:t>
      </w:r>
    </w:p>
    <w:p w14:paraId="57CEF283" w14:textId="77777777" w:rsidR="00481AC4" w:rsidRPr="00481AC4" w:rsidRDefault="00481AC4" w:rsidP="00510A1F">
      <w:pPr>
        <w:pStyle w:val="ListParagraph"/>
        <w:rPr>
          <w:rFonts w:ascii="Amasis MT Pro Medium" w:hAnsi="Amasis MT Pro Medium"/>
        </w:rPr>
      </w:pPr>
      <w:r w:rsidRPr="00481AC4">
        <w:rPr>
          <w:rFonts w:ascii="Amasis MT Pro Medium" w:hAnsi="Amasis MT Pro Medium"/>
        </w:rPr>
        <w:t>and</w:t>
      </w:r>
    </w:p>
    <w:p w14:paraId="28FAD3A5" w14:textId="49ABFE21" w:rsidR="00481AC4" w:rsidRPr="00CF4A44" w:rsidRDefault="00481AC4" w:rsidP="00CF4A44">
      <w:pPr>
        <w:pStyle w:val="ListParagraph"/>
        <w:rPr>
          <w:rFonts w:ascii="Amasis MT Pro Medium" w:hAnsi="Amasis MT Pro Medium"/>
        </w:rPr>
      </w:pPr>
      <w:r w:rsidRPr="00481AC4">
        <w:rPr>
          <w:rFonts w:ascii="Amasis MT Pro Medium" w:hAnsi="Amasis MT Pro Medium"/>
        </w:rPr>
        <w:br/>
      </w:r>
      <w:r w:rsidRPr="00CF4A44">
        <w:rPr>
          <w:rFonts w:ascii="Amasis MT Pro Medium" w:hAnsi="Amasis MT Pro Medium"/>
        </w:rPr>
        <w:t>Service Address</w:t>
      </w:r>
      <w:r w:rsidR="00000000">
        <w:pict w14:anchorId="6656794F">
          <v:rect id="_x0000_i1025" style="width:0;height:1.5pt" o:hrstd="t" o:hr="t" fillcolor="#a0a0a0" stroked="f"/>
        </w:pict>
      </w:r>
    </w:p>
    <w:p w14:paraId="39963550" w14:textId="77777777" w:rsidR="00481AC4" w:rsidRPr="004E26F6" w:rsidRDefault="00481AC4"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1. Services Provided &amp; Service Standards</w:t>
      </w:r>
    </w:p>
    <w:p w14:paraId="528805C5" w14:textId="3FAD5944"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 xml:space="preserve">The </w:t>
      </w:r>
      <w:r w:rsidR="00E8293B" w:rsidRPr="004E26F6">
        <w:rPr>
          <w:rFonts w:ascii="Amasis MT Pro Medium" w:hAnsi="Amasis MT Pro Medium"/>
          <w:sz w:val="22"/>
          <w:szCs w:val="22"/>
        </w:rPr>
        <w:t>Clean Sort</w:t>
      </w:r>
      <w:r w:rsidRPr="004E26F6">
        <w:rPr>
          <w:rFonts w:ascii="Amasis MT Pro Medium" w:hAnsi="Amasis MT Pro Medium"/>
          <w:sz w:val="22"/>
          <w:szCs w:val="22"/>
        </w:rPr>
        <w:t xml:space="preserve"> agrees to provide professional cleaning services as agreed between the parties, which may include dusting, vacuuming, mopping, bathroom</w:t>
      </w:r>
      <w:r w:rsidR="00970D57" w:rsidRPr="004E26F6">
        <w:rPr>
          <w:rFonts w:ascii="Amasis MT Pro Medium" w:hAnsi="Amasis MT Pro Medium"/>
          <w:sz w:val="22"/>
          <w:szCs w:val="22"/>
        </w:rPr>
        <w:t xml:space="preserve">, </w:t>
      </w:r>
      <w:r w:rsidRPr="004E26F6">
        <w:rPr>
          <w:rFonts w:ascii="Amasis MT Pro Medium" w:hAnsi="Amasis MT Pro Medium"/>
          <w:sz w:val="22"/>
          <w:szCs w:val="22"/>
        </w:rPr>
        <w:t>kitchen cleaning, garbage removal, and other mutually agreed tasks. Services will be performed in a professional manner using reasonable care. The Client understands that results may vary based on the condition of the property and surfaces.</w:t>
      </w:r>
    </w:p>
    <w:p w14:paraId="475229E3"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1E78B2BA">
          <v:rect id="_x0000_i1026" style="width:0;height:1.5pt" o:hrstd="t" o:hr="t" fillcolor="#a0a0a0" stroked="f"/>
        </w:pict>
      </w:r>
    </w:p>
    <w:p w14:paraId="361DC2B5" w14:textId="77777777" w:rsidR="00481AC4" w:rsidRPr="004E26F6" w:rsidRDefault="00481AC4"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2. Access to Property</w:t>
      </w:r>
    </w:p>
    <w:p w14:paraId="2EC35A0B" w14:textId="55BBC0C3"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The Client agrees to provide safe, timely, and reasonable access to the property at the scheduled service time</w:t>
      </w:r>
      <w:r w:rsidR="004010CF" w:rsidRPr="004E26F6">
        <w:rPr>
          <w:rFonts w:ascii="Amasis MT Pro Medium" w:hAnsi="Amasis MT Pro Medium"/>
          <w:sz w:val="22"/>
          <w:szCs w:val="22"/>
        </w:rPr>
        <w:t>, this includes snow removal</w:t>
      </w:r>
      <w:r w:rsidR="009A11CC" w:rsidRPr="004E26F6">
        <w:rPr>
          <w:rFonts w:ascii="Amasis MT Pro Medium" w:hAnsi="Amasis MT Pro Medium"/>
          <w:sz w:val="22"/>
          <w:szCs w:val="22"/>
        </w:rPr>
        <w:t xml:space="preserve"> of driveways and walkways</w:t>
      </w:r>
      <w:r w:rsidR="004010CF" w:rsidRPr="004E26F6">
        <w:rPr>
          <w:rFonts w:ascii="Amasis MT Pro Medium" w:hAnsi="Amasis MT Pro Medium"/>
          <w:sz w:val="22"/>
          <w:szCs w:val="22"/>
        </w:rPr>
        <w:t xml:space="preserve"> during winter month</w:t>
      </w:r>
      <w:r w:rsidR="009A11CC" w:rsidRPr="004E26F6">
        <w:rPr>
          <w:rFonts w:ascii="Amasis MT Pro Medium" w:hAnsi="Amasis MT Pro Medium"/>
          <w:sz w:val="22"/>
          <w:szCs w:val="22"/>
        </w:rPr>
        <w:t>s.</w:t>
      </w:r>
      <w:r w:rsidR="004010CF" w:rsidRPr="004E26F6">
        <w:rPr>
          <w:rFonts w:ascii="Amasis MT Pro Medium" w:hAnsi="Amasis MT Pro Medium"/>
          <w:sz w:val="22"/>
          <w:szCs w:val="22"/>
        </w:rPr>
        <w:t xml:space="preserve"> </w:t>
      </w:r>
      <w:r w:rsidRPr="004E26F6">
        <w:rPr>
          <w:rFonts w:ascii="Amasis MT Pro Medium" w:hAnsi="Amasis MT Pro Medium"/>
          <w:sz w:val="22"/>
          <w:szCs w:val="22"/>
        </w:rPr>
        <w:t>If</w:t>
      </w:r>
      <w:r w:rsidR="00275320" w:rsidRPr="004E26F6">
        <w:rPr>
          <w:rFonts w:ascii="Amasis MT Pro Medium" w:hAnsi="Amasis MT Pro Medium"/>
          <w:sz w:val="22"/>
          <w:szCs w:val="22"/>
        </w:rPr>
        <w:t xml:space="preserve"> The Clean Sort </w:t>
      </w:r>
      <w:r w:rsidRPr="004E26F6">
        <w:rPr>
          <w:rFonts w:ascii="Amasis MT Pro Medium" w:hAnsi="Amasis MT Pro Medium"/>
          <w:sz w:val="22"/>
          <w:szCs w:val="22"/>
        </w:rPr>
        <w:t>is unable to access the property, the visit may be considered cancelled and subject to applicable cancellation fees.</w:t>
      </w:r>
      <w:r w:rsidR="009F4910" w:rsidRPr="004E26F6">
        <w:rPr>
          <w:rFonts w:ascii="Amasis MT Pro Medium" w:hAnsi="Amasis MT Pro Medium"/>
          <w:sz w:val="22"/>
          <w:szCs w:val="22"/>
        </w:rPr>
        <w:t xml:space="preserve"> </w:t>
      </w:r>
    </w:p>
    <w:p w14:paraId="17622BFE"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176D5A0C">
          <v:rect id="_x0000_i1027" style="width:0;height:1.5pt" o:hrstd="t" o:hr="t" fillcolor="#a0a0a0" stroked="f"/>
        </w:pict>
      </w:r>
    </w:p>
    <w:p w14:paraId="2C3E7A81" w14:textId="77777777" w:rsidR="00481AC4" w:rsidRPr="004E26F6" w:rsidRDefault="00481AC4"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3. Pricing, Payment &amp; Refunds</w:t>
      </w:r>
    </w:p>
    <w:p w14:paraId="73EE686C" w14:textId="71A3A574" w:rsidR="00481AC4" w:rsidRPr="004E26F6" w:rsidRDefault="005E2BF8" w:rsidP="00510A1F">
      <w:pPr>
        <w:pStyle w:val="ListParagraph"/>
        <w:rPr>
          <w:rFonts w:ascii="Amasis MT Pro Medium" w:hAnsi="Amasis MT Pro Medium"/>
          <w:sz w:val="22"/>
          <w:szCs w:val="22"/>
        </w:rPr>
      </w:pPr>
      <w:r w:rsidRPr="004E26F6">
        <w:rPr>
          <w:rFonts w:ascii="Amasis MT Pro Medium" w:hAnsi="Amasis MT Pro Medium"/>
          <w:sz w:val="22"/>
          <w:szCs w:val="22"/>
        </w:rPr>
        <w:t>Payment is due upon completion</w:t>
      </w:r>
      <w:r w:rsidR="00C11E60" w:rsidRPr="004E26F6">
        <w:rPr>
          <w:rFonts w:ascii="Amasis MT Pro Medium" w:hAnsi="Amasis MT Pro Medium"/>
          <w:sz w:val="22"/>
          <w:szCs w:val="22"/>
        </w:rPr>
        <w:t xml:space="preserve"> o</w:t>
      </w:r>
      <w:r w:rsidR="005F3E9E" w:rsidRPr="004E26F6">
        <w:rPr>
          <w:rFonts w:ascii="Amasis MT Pro Medium" w:hAnsi="Amasis MT Pro Medium"/>
          <w:sz w:val="22"/>
          <w:szCs w:val="22"/>
        </w:rPr>
        <w:t>f</w:t>
      </w:r>
      <w:r w:rsidR="00C11E60" w:rsidRPr="004E26F6">
        <w:rPr>
          <w:rFonts w:ascii="Amasis MT Pro Medium" w:hAnsi="Amasis MT Pro Medium"/>
          <w:sz w:val="22"/>
          <w:szCs w:val="22"/>
        </w:rPr>
        <w:t xml:space="preserve"> service, a late fee of $25 will be applied</w:t>
      </w:r>
      <w:r w:rsidR="00481AC4" w:rsidRPr="004E26F6">
        <w:rPr>
          <w:rFonts w:ascii="Amasis MT Pro Medium" w:hAnsi="Amasis MT Pro Medium"/>
          <w:sz w:val="22"/>
          <w:szCs w:val="22"/>
        </w:rPr>
        <w:t xml:space="preserve"> </w:t>
      </w:r>
      <w:r w:rsidR="003419C1" w:rsidRPr="004E26F6">
        <w:rPr>
          <w:rFonts w:ascii="Amasis MT Pro Medium" w:hAnsi="Amasis MT Pro Medium"/>
          <w:sz w:val="22"/>
          <w:szCs w:val="22"/>
        </w:rPr>
        <w:t>to unpaid invoices after 24-48hrs</w:t>
      </w:r>
      <w:r w:rsidR="00877BD5" w:rsidRPr="004E26F6">
        <w:rPr>
          <w:rFonts w:ascii="Amasis MT Pro Medium" w:hAnsi="Amasis MT Pro Medium"/>
          <w:sz w:val="22"/>
          <w:szCs w:val="22"/>
        </w:rPr>
        <w:t>. Services may be pa</w:t>
      </w:r>
      <w:r w:rsidR="00FC76F6">
        <w:rPr>
          <w:rFonts w:ascii="Amasis MT Pro Medium" w:hAnsi="Amasis MT Pro Medium"/>
          <w:sz w:val="22"/>
          <w:szCs w:val="22"/>
        </w:rPr>
        <w:t>use</w:t>
      </w:r>
      <w:r w:rsidR="00877BD5" w:rsidRPr="004E26F6">
        <w:rPr>
          <w:rFonts w:ascii="Amasis MT Pro Medium" w:hAnsi="Amasis MT Pro Medium"/>
          <w:sz w:val="22"/>
          <w:szCs w:val="22"/>
        </w:rPr>
        <w:t xml:space="preserve">d for overdue accounts.  </w:t>
      </w:r>
      <w:r w:rsidR="00481AC4" w:rsidRPr="004E26F6">
        <w:rPr>
          <w:rFonts w:ascii="Amasis MT Pro Medium" w:hAnsi="Amasis MT Pro Medium"/>
          <w:sz w:val="22"/>
          <w:szCs w:val="22"/>
        </w:rPr>
        <w:t xml:space="preserve">Refunds are not provided for completed services; however, </w:t>
      </w:r>
      <w:r w:rsidR="00DB4663" w:rsidRPr="004E26F6">
        <w:rPr>
          <w:rFonts w:ascii="Amasis MT Pro Medium" w:hAnsi="Amasis MT Pro Medium"/>
          <w:sz w:val="22"/>
          <w:szCs w:val="22"/>
        </w:rPr>
        <w:t xml:space="preserve">The Clean Sort </w:t>
      </w:r>
      <w:r w:rsidR="00481AC4" w:rsidRPr="004E26F6">
        <w:rPr>
          <w:rFonts w:ascii="Amasis MT Pro Medium" w:hAnsi="Amasis MT Pro Medium"/>
          <w:sz w:val="22"/>
          <w:szCs w:val="22"/>
        </w:rPr>
        <w:t>may, at its discretion, offer a re</w:t>
      </w:r>
      <w:r w:rsidR="00481AC4" w:rsidRPr="004E26F6">
        <w:rPr>
          <w:rFonts w:ascii="Amasis MT Pro Medium" w:hAnsi="Amasis MT Pro Medium"/>
          <w:sz w:val="22"/>
          <w:szCs w:val="22"/>
        </w:rPr>
        <w:noBreakHyphen/>
        <w:t>clean if concerns are reported within 24 hours of service.</w:t>
      </w:r>
    </w:p>
    <w:p w14:paraId="1C28F4F7"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592434FB">
          <v:rect id="_x0000_i1028" style="width:0;height:1.5pt" o:hrstd="t" o:hr="t" fillcolor="#a0a0a0" stroked="f"/>
        </w:pict>
      </w:r>
    </w:p>
    <w:p w14:paraId="6A4A79C6" w14:textId="161B7853" w:rsidR="00481AC4" w:rsidRPr="004E26F6" w:rsidRDefault="00481AC4"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4. Cancellation</w:t>
      </w:r>
      <w:r w:rsidR="00014952" w:rsidRPr="004E26F6">
        <w:rPr>
          <w:rFonts w:ascii="Amasis MT Pro Medium" w:hAnsi="Amasis MT Pro Medium"/>
          <w:b/>
          <w:bCs/>
          <w:sz w:val="22"/>
          <w:szCs w:val="22"/>
        </w:rPr>
        <w:t>/Rescheduling</w:t>
      </w:r>
    </w:p>
    <w:p w14:paraId="05500DE2" w14:textId="0329E003" w:rsidR="00481AC4" w:rsidRPr="004E26F6" w:rsidRDefault="00481AC4" w:rsidP="00CF4A44">
      <w:pPr>
        <w:pStyle w:val="ListParagraph"/>
        <w:rPr>
          <w:rFonts w:ascii="Amasis MT Pro Medium" w:hAnsi="Amasis MT Pro Medium"/>
          <w:sz w:val="22"/>
          <w:szCs w:val="22"/>
        </w:rPr>
      </w:pPr>
      <w:r w:rsidRPr="004E26F6">
        <w:rPr>
          <w:rFonts w:ascii="Amasis MT Pro Medium" w:hAnsi="Amasis MT Pro Medium"/>
          <w:sz w:val="22"/>
          <w:szCs w:val="22"/>
        </w:rPr>
        <w:t>The Client must provide at least 24 hours’ notice to cancel or reschedule a service. Cancellations with less than 24 hours’ notice may be charged up to 50% of the scheduled service fee.</w:t>
      </w:r>
      <w:r w:rsidR="00014952" w:rsidRPr="004E26F6">
        <w:rPr>
          <w:rFonts w:ascii="Amasis MT Pro Medium" w:hAnsi="Amasis MT Pro Medium"/>
          <w:sz w:val="22"/>
          <w:szCs w:val="22"/>
        </w:rPr>
        <w:t xml:space="preserve">  </w:t>
      </w:r>
      <w:r w:rsidR="00861821" w:rsidRPr="004E26F6">
        <w:rPr>
          <w:rFonts w:ascii="Amasis MT Pro Medium" w:hAnsi="Amasis MT Pro Medium"/>
          <w:color w:val="000000"/>
          <w:sz w:val="22"/>
          <w:szCs w:val="22"/>
        </w:rPr>
        <w:t>If we must reschedule your service, we will do our best to accommodate you; however, cancellations may occur due to a full schedule.</w:t>
      </w:r>
      <w:r w:rsidR="00000000">
        <w:rPr>
          <w:sz w:val="22"/>
          <w:szCs w:val="22"/>
        </w:rPr>
        <w:pict w14:anchorId="5D116AFB">
          <v:rect id="_x0000_i1029" style="width:0;height:1.5pt" o:hrstd="t" o:hr="t" fillcolor="#a0a0a0" stroked="f"/>
        </w:pict>
      </w:r>
    </w:p>
    <w:p w14:paraId="6B313E5D" w14:textId="77777777" w:rsidR="00481AC4" w:rsidRPr="004E26F6" w:rsidRDefault="00481AC4"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5. Condition of Home/Workspace, Health &amp; Safety, and Right to Refuse Service</w:t>
      </w:r>
    </w:p>
    <w:p w14:paraId="5B325684" w14:textId="75E898E4"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 xml:space="preserve">The Client agrees to provide a reasonably clean, safe, and sanitary environment. The </w:t>
      </w:r>
      <w:r w:rsidR="007F5132" w:rsidRPr="004E26F6">
        <w:rPr>
          <w:rFonts w:ascii="Amasis MT Pro Medium" w:hAnsi="Amasis MT Pro Medium"/>
          <w:sz w:val="22"/>
          <w:szCs w:val="22"/>
        </w:rPr>
        <w:t>Clean Sort</w:t>
      </w:r>
      <w:r w:rsidRPr="004E26F6">
        <w:rPr>
          <w:rFonts w:ascii="Amasis MT Pro Medium" w:hAnsi="Amasis MT Pro Medium"/>
          <w:sz w:val="22"/>
          <w:szCs w:val="22"/>
        </w:rPr>
        <w:t xml:space="preserve"> may refuse or discontinue service if conditions are unsafe, unsanitary, aggressive, or pose a health risk, including but not limited to excessive clutter, </w:t>
      </w:r>
      <w:r w:rsidR="003C4C78" w:rsidRPr="004E26F6">
        <w:rPr>
          <w:rFonts w:ascii="Amasis MT Pro Medium" w:hAnsi="Amasis MT Pro Medium"/>
          <w:sz w:val="22"/>
          <w:szCs w:val="22"/>
        </w:rPr>
        <w:t>biohazards, weapons</w:t>
      </w:r>
      <w:r w:rsidR="001625E7" w:rsidRPr="004E26F6">
        <w:rPr>
          <w:rFonts w:ascii="Amasis MT Pro Medium" w:hAnsi="Amasis MT Pro Medium"/>
          <w:sz w:val="22"/>
          <w:szCs w:val="22"/>
        </w:rPr>
        <w:t xml:space="preserve">, drug </w:t>
      </w:r>
      <w:r w:rsidR="003C4C78" w:rsidRPr="004E26F6">
        <w:rPr>
          <w:rFonts w:ascii="Amasis MT Pro Medium" w:hAnsi="Amasis MT Pro Medium"/>
          <w:sz w:val="22"/>
          <w:szCs w:val="22"/>
        </w:rPr>
        <w:t>paraphernalia,</w:t>
      </w:r>
      <w:r w:rsidRPr="004E26F6">
        <w:rPr>
          <w:rFonts w:ascii="Amasis MT Pro Medium" w:hAnsi="Amasis MT Pro Medium"/>
          <w:sz w:val="22"/>
          <w:szCs w:val="22"/>
        </w:rPr>
        <w:t xml:space="preserve"> pests, or unsafe structural conditions. In such cases, the service may be considered completed or cancelled without refund.</w:t>
      </w:r>
      <w:r w:rsidR="00246104" w:rsidRPr="004E26F6">
        <w:rPr>
          <w:rFonts w:ascii="Amasis MT Pro Medium" w:hAnsi="Amasis MT Pro Medium"/>
          <w:sz w:val="22"/>
          <w:szCs w:val="22"/>
        </w:rPr>
        <w:t xml:space="preserve"> </w:t>
      </w:r>
      <w:r w:rsidR="00691863">
        <w:rPr>
          <w:rFonts w:ascii="Amasis MT Pro Medium" w:hAnsi="Amasis MT Pro Medium"/>
          <w:sz w:val="22"/>
          <w:szCs w:val="22"/>
        </w:rPr>
        <w:t xml:space="preserve"> </w:t>
      </w:r>
    </w:p>
    <w:p w14:paraId="79B32D61" w14:textId="0A87CE83" w:rsidR="00B95F69" w:rsidRPr="004E26F6" w:rsidRDefault="00000000" w:rsidP="007D636A">
      <w:pPr>
        <w:pStyle w:val="ListParagraph"/>
        <w:rPr>
          <w:rFonts w:ascii="Amasis MT Pro Medium" w:hAnsi="Amasis MT Pro Medium"/>
          <w:sz w:val="22"/>
          <w:szCs w:val="22"/>
        </w:rPr>
      </w:pPr>
      <w:r>
        <w:rPr>
          <w:rFonts w:ascii="Amasis MT Pro Medium" w:hAnsi="Amasis MT Pro Medium"/>
          <w:sz w:val="22"/>
          <w:szCs w:val="22"/>
        </w:rPr>
        <w:lastRenderedPageBreak/>
        <w:pict w14:anchorId="00420B4F">
          <v:rect id="_x0000_i1030" style="width:0;height:1.5pt" o:hrstd="t" o:hr="t" fillcolor="#a0a0a0" stroked="f"/>
        </w:pict>
      </w:r>
      <w:r w:rsidR="00B95F69" w:rsidRPr="004E26F6">
        <w:rPr>
          <w:rFonts w:ascii="Amasis MT Pro Medium" w:hAnsi="Amasis MT Pro Medium"/>
          <w:b/>
          <w:bCs/>
          <w:sz w:val="22"/>
          <w:szCs w:val="22"/>
        </w:rPr>
        <w:t>6. Pet Clause</w:t>
      </w:r>
    </w:p>
    <w:p w14:paraId="7807CFBF" w14:textId="2C259981" w:rsidR="003F497E" w:rsidRPr="00543270" w:rsidRDefault="00B95F69" w:rsidP="00543270">
      <w:pPr>
        <w:pStyle w:val="ListParagraph"/>
        <w:rPr>
          <w:rFonts w:ascii="Amasis MT Pro Medium" w:hAnsi="Amasis MT Pro Medium"/>
          <w:sz w:val="22"/>
          <w:szCs w:val="22"/>
        </w:rPr>
      </w:pPr>
      <w:r w:rsidRPr="004E26F6">
        <w:rPr>
          <w:rFonts w:ascii="Amasis MT Pro Medium" w:hAnsi="Amasis MT Pro Medium"/>
          <w:sz w:val="22"/>
          <w:szCs w:val="22"/>
        </w:rPr>
        <w:t xml:space="preserve">The Client agrees to inform </w:t>
      </w:r>
      <w:r w:rsidR="00330D1E" w:rsidRPr="004E26F6">
        <w:rPr>
          <w:rFonts w:ascii="Amasis MT Pro Medium" w:hAnsi="Amasis MT Pro Medium"/>
          <w:sz w:val="22"/>
          <w:szCs w:val="22"/>
        </w:rPr>
        <w:t>The Clean Sort</w:t>
      </w:r>
      <w:r w:rsidRPr="004E26F6">
        <w:rPr>
          <w:rFonts w:ascii="Amasis MT Pro Medium" w:hAnsi="Amasis MT Pro Medium"/>
          <w:sz w:val="22"/>
          <w:szCs w:val="22"/>
        </w:rPr>
        <w:t xml:space="preserve"> of any pets on the premises prior to service. Pets must be secured, confined, or safely managed during cleaning visits unless otherwise agreed in advance. The </w:t>
      </w:r>
      <w:r w:rsidR="00330D1E" w:rsidRPr="004E26F6">
        <w:rPr>
          <w:rFonts w:ascii="Amasis MT Pro Medium" w:hAnsi="Amasis MT Pro Medium"/>
          <w:sz w:val="22"/>
          <w:szCs w:val="22"/>
        </w:rPr>
        <w:t>Clean Sort</w:t>
      </w:r>
      <w:r w:rsidRPr="004E26F6">
        <w:rPr>
          <w:rFonts w:ascii="Amasis MT Pro Medium" w:hAnsi="Amasis MT Pro Medium"/>
          <w:sz w:val="22"/>
          <w:szCs w:val="22"/>
        </w:rPr>
        <w:t xml:space="preserve"> is not responsible for pets escaping, becoming stressed, or interfering with services. The </w:t>
      </w:r>
      <w:r w:rsidR="003D383D" w:rsidRPr="004E26F6">
        <w:rPr>
          <w:rFonts w:ascii="Amasis MT Pro Medium" w:hAnsi="Amasis MT Pro Medium"/>
          <w:sz w:val="22"/>
          <w:szCs w:val="22"/>
        </w:rPr>
        <w:t>Clean Sort</w:t>
      </w:r>
      <w:r w:rsidRPr="004E26F6">
        <w:rPr>
          <w:rFonts w:ascii="Amasis MT Pro Medium" w:hAnsi="Amasis MT Pro Medium"/>
          <w:sz w:val="22"/>
          <w:szCs w:val="22"/>
        </w:rPr>
        <w:t xml:space="preserve"> reserves the right to refuse or discontinue service if pets pose a safety risk, aggressive behavior, or interfere with the ability to perform services safely and effectively.</w:t>
      </w:r>
      <w:r w:rsidR="00000000">
        <w:rPr>
          <w:sz w:val="22"/>
          <w:szCs w:val="22"/>
        </w:rPr>
        <w:pict w14:anchorId="45410DE9">
          <v:rect id="_x0000_i1031" style="width:0;height:1.5pt" o:hrstd="t" o:hr="t" fillcolor="#a0a0a0" stroked="f"/>
        </w:pict>
      </w:r>
      <w:r w:rsidR="00621DB5" w:rsidRPr="004E26F6">
        <w:rPr>
          <w:rFonts w:ascii="Amasis MT Pro Medium" w:hAnsi="Amasis MT Pro Medium"/>
          <w:b/>
          <w:bCs/>
          <w:sz w:val="22"/>
          <w:szCs w:val="22"/>
        </w:rPr>
        <w:t>7</w:t>
      </w:r>
      <w:r w:rsidR="00481AC4" w:rsidRPr="004E26F6">
        <w:rPr>
          <w:rFonts w:ascii="Amasis MT Pro Medium" w:hAnsi="Amasis MT Pro Medium"/>
          <w:b/>
          <w:bCs/>
          <w:sz w:val="22"/>
          <w:szCs w:val="22"/>
        </w:rPr>
        <w:t>. Damage Policy</w:t>
      </w:r>
      <w:r w:rsidR="00543270">
        <w:rPr>
          <w:rFonts w:ascii="Amasis MT Pro Medium" w:hAnsi="Amasis MT Pro Medium"/>
          <w:b/>
          <w:bCs/>
          <w:sz w:val="22"/>
          <w:szCs w:val="22"/>
        </w:rPr>
        <w:t xml:space="preserve">                                                                                                                                      </w:t>
      </w:r>
      <w:proofErr w:type="gramStart"/>
      <w:r w:rsidR="003F497E">
        <w:rPr>
          <w:rFonts w:ascii="Amasis MT Pro Medium" w:hAnsi="Amasis MT Pro Medium"/>
          <w:sz w:val="22"/>
          <w:szCs w:val="22"/>
        </w:rPr>
        <w:t>The</w:t>
      </w:r>
      <w:proofErr w:type="gramEnd"/>
      <w:r w:rsidR="003F497E">
        <w:rPr>
          <w:rFonts w:ascii="Amasis MT Pro Medium" w:hAnsi="Amasis MT Pro Medium"/>
          <w:sz w:val="22"/>
          <w:szCs w:val="22"/>
        </w:rPr>
        <w:t xml:space="preserve"> Clean Sort is fully insured and will take reasonable care while performing services. All Clean Sort cleaners undergo criminal record checks prior to employment to ensure client safety and peace of mind. Any claims for damage must be reported within 24 hours of service completion. The Clean Sort is not responsible for pre</w:t>
      </w:r>
      <w:r w:rsidR="003F497E">
        <w:rPr>
          <w:rFonts w:ascii="Amasis MT Pro Medium" w:hAnsi="Amasis MT Pro Medium"/>
          <w:sz w:val="22"/>
          <w:szCs w:val="22"/>
        </w:rPr>
        <w:noBreakHyphen/>
        <w:t xml:space="preserve">existing damage, normal wear and tear, improperly secured items, or damage resulting from unstable or fragile items. </w:t>
      </w:r>
      <w:r w:rsidR="003F497E">
        <w:rPr>
          <w:rFonts w:ascii="Amasis MT Pro Medium" w:hAnsi="Amasis MT Pro Medium"/>
          <w:color w:val="000000"/>
          <w:sz w:val="22"/>
          <w:szCs w:val="22"/>
        </w:rPr>
        <w:t>The Clean Sort team will document any damages identified during the cleaning process and promptly notify the client.</w:t>
      </w:r>
      <w:r w:rsidR="003F497E">
        <w:rPr>
          <w:rFonts w:ascii="Amasis MT Pro Medium" w:hAnsi="Amasis MT Pro Medium"/>
          <w:sz w:val="22"/>
          <w:szCs w:val="22"/>
        </w:rPr>
        <w:t xml:space="preserve"> </w:t>
      </w:r>
    </w:p>
    <w:p w14:paraId="5A3F27ED" w14:textId="77777777" w:rsidR="00734968"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00B88D4D">
          <v:rect id="_x0000_i1032" style="width:0;height:1.5pt" o:hrstd="t" o:hr="t" fillcolor="#a0a0a0" stroked="f"/>
        </w:pict>
      </w:r>
    </w:p>
    <w:p w14:paraId="078A0EE5" w14:textId="0E7CD4FD" w:rsidR="00481AC4" w:rsidRPr="004E26F6" w:rsidRDefault="00621DB5"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8</w:t>
      </w:r>
      <w:r w:rsidR="00481AC4" w:rsidRPr="004E26F6">
        <w:rPr>
          <w:rFonts w:ascii="Amasis MT Pro Medium" w:hAnsi="Amasis MT Pro Medium"/>
          <w:b/>
          <w:bCs/>
          <w:sz w:val="22"/>
          <w:szCs w:val="22"/>
        </w:rPr>
        <w:t>. Termination</w:t>
      </w:r>
    </w:p>
    <w:p w14:paraId="566A2010" w14:textId="77777777"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Either party may terminate this Agreement with 7 days’ written notice. Outstanding balances remain payable upon termination.</w:t>
      </w:r>
    </w:p>
    <w:p w14:paraId="405CDA7B"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43116DE8">
          <v:rect id="_x0000_i1033" style="width:0;height:1.5pt" o:hrstd="t" o:hr="t" fillcolor="#a0a0a0" stroked="f"/>
        </w:pict>
      </w:r>
    </w:p>
    <w:p w14:paraId="45368443" w14:textId="7B72B2B6" w:rsidR="00481AC4" w:rsidRPr="004E26F6" w:rsidRDefault="00621DB5"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9</w:t>
      </w:r>
      <w:r w:rsidR="00481AC4" w:rsidRPr="004E26F6">
        <w:rPr>
          <w:rFonts w:ascii="Amasis MT Pro Medium" w:hAnsi="Amasis MT Pro Medium"/>
          <w:b/>
          <w:bCs/>
          <w:sz w:val="22"/>
          <w:szCs w:val="22"/>
        </w:rPr>
        <w:t>. Governing Law</w:t>
      </w:r>
    </w:p>
    <w:p w14:paraId="577CE78A" w14:textId="77777777"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This Agreement shall be governed and interpreted in accordance with the laws of the Province of British Columbia, Canada.</w:t>
      </w:r>
    </w:p>
    <w:p w14:paraId="6DCB73DE"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0EB24892">
          <v:rect id="_x0000_i1034" style="width:0;height:1.5pt" o:hrstd="t" o:hr="t" fillcolor="#a0a0a0" stroked="f"/>
        </w:pict>
      </w:r>
    </w:p>
    <w:p w14:paraId="31290A94" w14:textId="379A3470" w:rsidR="00481AC4" w:rsidRPr="004E26F6" w:rsidRDefault="00621DB5" w:rsidP="00510A1F">
      <w:pPr>
        <w:pStyle w:val="ListParagraph"/>
        <w:rPr>
          <w:rFonts w:ascii="Amasis MT Pro Medium" w:hAnsi="Amasis MT Pro Medium"/>
          <w:b/>
          <w:bCs/>
          <w:sz w:val="22"/>
          <w:szCs w:val="22"/>
        </w:rPr>
      </w:pPr>
      <w:r w:rsidRPr="004E26F6">
        <w:rPr>
          <w:rFonts w:ascii="Amasis MT Pro Medium" w:hAnsi="Amasis MT Pro Medium"/>
          <w:b/>
          <w:bCs/>
          <w:sz w:val="22"/>
          <w:szCs w:val="22"/>
        </w:rPr>
        <w:t>10</w:t>
      </w:r>
      <w:r w:rsidR="00481AC4" w:rsidRPr="004E26F6">
        <w:rPr>
          <w:rFonts w:ascii="Amasis MT Pro Medium" w:hAnsi="Amasis MT Pro Medium"/>
          <w:b/>
          <w:bCs/>
          <w:sz w:val="22"/>
          <w:szCs w:val="22"/>
        </w:rPr>
        <w:t>. Entire Agreement</w:t>
      </w:r>
    </w:p>
    <w:p w14:paraId="0E879E38" w14:textId="77777777" w:rsidR="00481AC4" w:rsidRPr="004E26F6" w:rsidRDefault="00481AC4" w:rsidP="00510A1F">
      <w:pPr>
        <w:pStyle w:val="ListParagraph"/>
        <w:rPr>
          <w:rFonts w:ascii="Amasis MT Pro Medium" w:hAnsi="Amasis MT Pro Medium"/>
          <w:sz w:val="22"/>
          <w:szCs w:val="22"/>
        </w:rPr>
      </w:pPr>
      <w:r w:rsidRPr="004E26F6">
        <w:rPr>
          <w:rFonts w:ascii="Amasis MT Pro Medium" w:hAnsi="Amasis MT Pro Medium"/>
          <w:sz w:val="22"/>
          <w:szCs w:val="22"/>
        </w:rPr>
        <w:t>This Agreement constitutes the entire agreement between the parties and supersedes all prior discussions, representations, or agreements, whether written or verbal.</w:t>
      </w:r>
    </w:p>
    <w:p w14:paraId="03CD84A4" w14:textId="77777777" w:rsidR="00481AC4" w:rsidRPr="004E26F6" w:rsidRDefault="00000000" w:rsidP="00510A1F">
      <w:pPr>
        <w:pStyle w:val="ListParagraph"/>
        <w:rPr>
          <w:rFonts w:ascii="Amasis MT Pro Medium" w:hAnsi="Amasis MT Pro Medium"/>
          <w:sz w:val="22"/>
          <w:szCs w:val="22"/>
        </w:rPr>
      </w:pPr>
      <w:r>
        <w:rPr>
          <w:rFonts w:ascii="Amasis MT Pro Medium" w:hAnsi="Amasis MT Pro Medium"/>
          <w:sz w:val="22"/>
          <w:szCs w:val="22"/>
        </w:rPr>
        <w:pict w14:anchorId="6896B552">
          <v:rect id="_x0000_i1035" style="width:0;height:1.5pt" o:hrstd="t" o:hr="t" fillcolor="#a0a0a0" stroked="f"/>
        </w:pict>
      </w:r>
    </w:p>
    <w:p w14:paraId="6889405F" w14:textId="75A36130" w:rsidR="00543270" w:rsidRPr="00543270" w:rsidRDefault="00543270" w:rsidP="00543270">
      <w:pPr>
        <w:ind w:left="720" w:firstLine="12"/>
        <w:rPr>
          <w:kern w:val="0"/>
          <w14:ligatures w14:val="none"/>
        </w:rPr>
      </w:pPr>
      <w:r w:rsidRPr="00543270">
        <w:rPr>
          <w:rFonts w:ascii="Amasis MT Pro Medium" w:hAnsi="Amasis MT Pro Medium"/>
          <w:b/>
          <w:bCs/>
          <w:sz w:val="22"/>
          <w:szCs w:val="22"/>
        </w:rPr>
        <w:t>1</w:t>
      </w:r>
      <w:r w:rsidR="001A2576">
        <w:rPr>
          <w:rFonts w:ascii="Amasis MT Pro Medium" w:hAnsi="Amasis MT Pro Medium"/>
          <w:b/>
          <w:bCs/>
          <w:sz w:val="22"/>
          <w:szCs w:val="22"/>
        </w:rPr>
        <w:t>1</w:t>
      </w:r>
      <w:r w:rsidRPr="00543270">
        <w:rPr>
          <w:rFonts w:ascii="Amasis MT Pro Medium" w:hAnsi="Amasis MT Pro Medium"/>
          <w:b/>
          <w:bCs/>
          <w:sz w:val="22"/>
          <w:szCs w:val="22"/>
        </w:rPr>
        <w:t>. Confidentiality</w:t>
      </w:r>
      <w:r w:rsidRPr="00543270">
        <w:rPr>
          <w:b/>
          <w:bCs/>
        </w:rPr>
        <w:t xml:space="preserve"> </w:t>
      </w:r>
      <w:r>
        <w:rPr>
          <w:kern w:val="0"/>
          <w14:ligatures w14:val="none"/>
        </w:rPr>
        <w:t xml:space="preserve">                                                                                                                                                                   </w:t>
      </w:r>
      <w:r w:rsidRPr="00543270">
        <w:rPr>
          <w:rFonts w:ascii="Amasis MT Pro Medium" w:hAnsi="Amasis MT Pro Medium"/>
          <w:sz w:val="22"/>
          <w:szCs w:val="22"/>
        </w:rPr>
        <w:t xml:space="preserve">The Clean Sort and its employees agree to respect the privacy and confidentiality of all client information, property, and personal details encountered during service provision. Any information obtained while cleaning services will not be disclosed to third parties except as required by law or with the explicit consent of the client. </w:t>
      </w:r>
    </w:p>
    <w:p w14:paraId="2360F387" w14:textId="0585CC3A" w:rsidR="00543270" w:rsidRPr="00543270" w:rsidRDefault="00000000" w:rsidP="00543270">
      <w:pPr>
        <w:ind w:left="720"/>
        <w:rPr>
          <w:kern w:val="0"/>
          <w14:ligatures w14:val="none"/>
        </w:rPr>
      </w:pPr>
      <w:r>
        <w:rPr>
          <w:rFonts w:ascii="Amasis MT Pro Medium" w:hAnsi="Amasis MT Pro Medium"/>
          <w:sz w:val="22"/>
          <w:szCs w:val="22"/>
        </w:rPr>
        <w:pict w14:anchorId="596B5417">
          <v:rect id="_x0000_i1036" style="width:0;height:1.5pt" o:hrstd="t" o:hr="t" fillcolor="#a0a0a0" stroked="f"/>
        </w:pict>
      </w:r>
    </w:p>
    <w:p w14:paraId="7BD1E354" w14:textId="4BDBF8F1" w:rsidR="00543270" w:rsidRDefault="00481AC4" w:rsidP="00543270">
      <w:pPr>
        <w:ind w:left="720"/>
        <w:rPr>
          <w:rFonts w:ascii="Amasis MT Pro Medium" w:hAnsi="Amasis MT Pro Medium"/>
          <w:b/>
          <w:bCs/>
          <w:sz w:val="22"/>
          <w:szCs w:val="22"/>
        </w:rPr>
      </w:pPr>
      <w:r w:rsidRPr="00543270">
        <w:rPr>
          <w:rFonts w:ascii="Amasis MT Pro Medium" w:hAnsi="Amasis MT Pro Medium"/>
          <w:b/>
          <w:bCs/>
          <w:sz w:val="22"/>
          <w:szCs w:val="22"/>
        </w:rPr>
        <w:t>1</w:t>
      </w:r>
      <w:r w:rsidR="001A2576">
        <w:rPr>
          <w:rFonts w:ascii="Amasis MT Pro Medium" w:hAnsi="Amasis MT Pro Medium"/>
          <w:b/>
          <w:bCs/>
          <w:sz w:val="22"/>
          <w:szCs w:val="22"/>
        </w:rPr>
        <w:t>2</w:t>
      </w:r>
      <w:r w:rsidRPr="00543270">
        <w:rPr>
          <w:rFonts w:ascii="Amasis MT Pro Medium" w:hAnsi="Amasis MT Pro Medium"/>
          <w:b/>
          <w:bCs/>
          <w:sz w:val="22"/>
          <w:szCs w:val="22"/>
        </w:rPr>
        <w:t>. Signatures</w:t>
      </w:r>
      <w:r w:rsidR="00543270">
        <w:rPr>
          <w:rFonts w:ascii="Amasis MT Pro Medium" w:hAnsi="Amasis MT Pro Medium"/>
          <w:b/>
          <w:bCs/>
          <w:sz w:val="22"/>
          <w:szCs w:val="22"/>
        </w:rPr>
        <w:t xml:space="preserve">                                                                                                                                      </w:t>
      </w:r>
    </w:p>
    <w:p w14:paraId="34C604CF" w14:textId="2DD5BD74" w:rsidR="00481AC4" w:rsidRPr="00543270" w:rsidRDefault="00481AC4" w:rsidP="00543270">
      <w:pPr>
        <w:ind w:left="720"/>
        <w:rPr>
          <w:rFonts w:ascii="Amasis MT Pro Medium" w:hAnsi="Amasis MT Pro Medium"/>
          <w:b/>
          <w:bCs/>
          <w:sz w:val="22"/>
          <w:szCs w:val="22"/>
        </w:rPr>
      </w:pPr>
      <w:r w:rsidRPr="00543270">
        <w:rPr>
          <w:rFonts w:ascii="Amasis MT Pro Medium" w:hAnsi="Amasis MT Pro Medium"/>
          <w:b/>
          <w:bCs/>
          <w:sz w:val="22"/>
          <w:szCs w:val="22"/>
        </w:rPr>
        <w:t>Service Provider Signature:</w:t>
      </w:r>
      <w:r w:rsidRPr="00543270">
        <w:rPr>
          <w:rFonts w:ascii="Amasis MT Pro Medium" w:hAnsi="Amasis MT Pro Medium"/>
          <w:sz w:val="22"/>
          <w:szCs w:val="22"/>
        </w:rPr>
        <w:t xml:space="preserve"> ______________________________</w:t>
      </w:r>
      <w:r w:rsidRPr="00543270">
        <w:rPr>
          <w:rFonts w:ascii="Amasis MT Pro Medium" w:hAnsi="Amasis MT Pro Medium"/>
          <w:sz w:val="22"/>
          <w:szCs w:val="22"/>
        </w:rPr>
        <w:br/>
        <w:t>Name: ______________________________</w:t>
      </w:r>
      <w:r w:rsidRPr="00543270">
        <w:rPr>
          <w:rFonts w:ascii="Amasis MT Pro Medium" w:hAnsi="Amasis MT Pro Medium"/>
          <w:sz w:val="22"/>
          <w:szCs w:val="22"/>
        </w:rPr>
        <w:br/>
        <w:t>Date: ______________________________</w:t>
      </w:r>
    </w:p>
    <w:p w14:paraId="777A6755" w14:textId="78D16AAC" w:rsidR="00543270" w:rsidRPr="00543270" w:rsidRDefault="00481AC4" w:rsidP="00543270">
      <w:pPr>
        <w:pStyle w:val="ListParagraph"/>
        <w:rPr>
          <w:rFonts w:ascii="Amasis MT Pro Medium" w:hAnsi="Amasis MT Pro Medium"/>
          <w:sz w:val="22"/>
          <w:szCs w:val="22"/>
        </w:rPr>
      </w:pPr>
      <w:r w:rsidRPr="004E26F6">
        <w:rPr>
          <w:rFonts w:ascii="Amasis MT Pro Medium" w:hAnsi="Amasis MT Pro Medium"/>
          <w:b/>
          <w:bCs/>
          <w:sz w:val="22"/>
          <w:szCs w:val="22"/>
        </w:rPr>
        <w:t>Client Signature:</w:t>
      </w:r>
      <w:r w:rsidRPr="004E26F6">
        <w:rPr>
          <w:rFonts w:ascii="Amasis MT Pro Medium" w:hAnsi="Amasis MT Pro Medium"/>
          <w:sz w:val="22"/>
          <w:szCs w:val="22"/>
        </w:rPr>
        <w:t xml:space="preserve"> ______________________________</w:t>
      </w:r>
      <w:r w:rsidRPr="004E26F6">
        <w:rPr>
          <w:rFonts w:ascii="Amasis MT Pro Medium" w:hAnsi="Amasis MT Pro Medium"/>
          <w:sz w:val="22"/>
          <w:szCs w:val="22"/>
        </w:rPr>
        <w:br/>
        <w:t>Name: ______________________________</w:t>
      </w:r>
      <w:r w:rsidRPr="004E26F6">
        <w:rPr>
          <w:rFonts w:ascii="Amasis MT Pro Medium" w:hAnsi="Amasis MT Pro Medium"/>
          <w:sz w:val="22"/>
          <w:szCs w:val="22"/>
        </w:rPr>
        <w:br/>
        <w:t>Date: ______________________________</w:t>
      </w:r>
      <w:r w:rsidR="00543270" w:rsidRPr="00543270">
        <w:rPr>
          <w:rFonts w:ascii="Amasis MT Pro Medium" w:hAnsi="Amasis MT Pro Medium"/>
          <w:sz w:val="22"/>
          <w:szCs w:val="22"/>
        </w:rPr>
        <w:t xml:space="preserve"> </w:t>
      </w:r>
    </w:p>
    <w:sectPr w:rsidR="00543270" w:rsidRPr="00543270" w:rsidSect="00D761A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EB5C" w14:textId="77777777" w:rsidR="00FE2521" w:rsidRDefault="00FE2521" w:rsidP="001D36DC">
      <w:pPr>
        <w:spacing w:after="0" w:line="240" w:lineRule="auto"/>
      </w:pPr>
      <w:r>
        <w:separator/>
      </w:r>
    </w:p>
  </w:endnote>
  <w:endnote w:type="continuationSeparator" w:id="0">
    <w:p w14:paraId="0CCB1CBD" w14:textId="77777777" w:rsidR="00FE2521" w:rsidRDefault="00FE2521" w:rsidP="001D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66AB" w14:textId="77777777" w:rsidR="00657B40" w:rsidRDefault="0065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08" w:type="pct"/>
      <w:tblInd w:w="-810" w:type="dxa"/>
      <w:shd w:val="clear" w:color="auto" w:fill="156082" w:themeFill="accent1"/>
      <w:tblCellMar>
        <w:left w:w="115" w:type="dxa"/>
        <w:right w:w="115" w:type="dxa"/>
      </w:tblCellMar>
      <w:tblLook w:val="04A0" w:firstRow="1" w:lastRow="0" w:firstColumn="1" w:lastColumn="0" w:noHBand="0" w:noVBand="1"/>
    </w:tblPr>
    <w:tblGrid>
      <w:gridCol w:w="6529"/>
      <w:gridCol w:w="5800"/>
    </w:tblGrid>
    <w:tr w:rsidR="00057B3E" w14:paraId="3C6F3C86" w14:textId="77777777" w:rsidTr="00D761A4">
      <w:tc>
        <w:tcPr>
          <w:tcW w:w="2648" w:type="pct"/>
          <w:shd w:val="clear" w:color="auto" w:fill="FF2674"/>
          <w:vAlign w:val="center"/>
        </w:tcPr>
        <w:p w14:paraId="32103AAB" w14:textId="2444D93E" w:rsidR="00057B3E" w:rsidRPr="00257B18" w:rsidRDefault="000D6418" w:rsidP="00A842EB">
          <w:pPr>
            <w:pStyle w:val="Footer"/>
            <w:tabs>
              <w:tab w:val="clear" w:pos="4680"/>
              <w:tab w:val="clear" w:pos="9360"/>
            </w:tabs>
            <w:spacing w:before="80" w:after="80"/>
            <w:ind w:right="-1233"/>
            <w:jc w:val="both"/>
            <w:rPr>
              <w:rFonts w:ascii="Baskerville Old Face" w:hAnsi="Baskerville Old Face"/>
              <w:caps/>
              <w:color w:val="FFFFFF" w:themeColor="background1"/>
              <w:sz w:val="18"/>
              <w:szCs w:val="18"/>
            </w:rPr>
          </w:pPr>
          <w:r w:rsidRPr="00257B18">
            <w:rPr>
              <w:rFonts w:ascii="Baskerville Old Face" w:hAnsi="Baskerville Old Face"/>
              <w:caps/>
              <w:color w:val="FFFFFF" w:themeColor="background1"/>
              <w:sz w:val="18"/>
              <w:szCs w:val="18"/>
            </w:rPr>
            <w:t xml:space="preserve">                th</w:t>
          </w:r>
          <w:r w:rsidR="00AD6321">
            <w:rPr>
              <w:rFonts w:ascii="Baskerville Old Face" w:hAnsi="Baskerville Old Face"/>
              <w:caps/>
              <w:color w:val="FFFFFF" w:themeColor="background1"/>
              <w:sz w:val="18"/>
              <w:szCs w:val="18"/>
            </w:rPr>
            <w:t>e</w:t>
          </w:r>
          <w:r w:rsidRPr="00257B18">
            <w:rPr>
              <w:rFonts w:ascii="Baskerville Old Face" w:hAnsi="Baskerville Old Face"/>
              <w:caps/>
              <w:color w:val="FFFFFF" w:themeColor="background1"/>
              <w:sz w:val="18"/>
              <w:szCs w:val="18"/>
            </w:rPr>
            <w:t>cleansort</w:t>
          </w:r>
          <w:r w:rsidR="00AD6321">
            <w:rPr>
              <w:rFonts w:ascii="Baskerville Old Face" w:hAnsi="Baskerville Old Face"/>
              <w:caps/>
              <w:color w:val="FFFFFF" w:themeColor="background1"/>
              <w:sz w:val="18"/>
              <w:szCs w:val="18"/>
            </w:rPr>
            <w:t>.ca</w:t>
          </w:r>
          <w:r w:rsidRPr="00257B18">
            <w:rPr>
              <w:rFonts w:ascii="Baskerville Old Face" w:hAnsi="Baskerville Old Face"/>
              <w:caps/>
              <w:color w:val="FFFFFF" w:themeColor="background1"/>
              <w:sz w:val="18"/>
              <w:szCs w:val="18"/>
            </w:rPr>
            <w:t xml:space="preserve">                        </w:t>
          </w:r>
          <w:r w:rsidR="00FA1C76">
            <w:rPr>
              <w:rFonts w:ascii="Baskerville Old Face" w:hAnsi="Baskerville Old Face"/>
              <w:caps/>
              <w:noProof/>
              <w:color w:val="FFFFFF" w:themeColor="background1"/>
              <w:sz w:val="18"/>
              <w:szCs w:val="18"/>
            </w:rPr>
            <w:drawing>
              <wp:inline distT="0" distB="0" distL="0" distR="0" wp14:anchorId="0ADCCEEC" wp14:editId="0B4085A1">
                <wp:extent cx="144895" cy="144895"/>
                <wp:effectExtent l="0" t="0" r="7620" b="7620"/>
                <wp:docPr id="248385943" name="Graphic 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85943" name="Graphic 248385943" descr="Envelope with solid fill"/>
                        <pic:cNvPicPr/>
                      </pic:nvPicPr>
                      <pic:blipFill>
                        <a:blip r:embed="rId1">
                          <a:extLst>
                            <a:ext uri="{96DAC541-7B7A-43D3-8B79-37D633B846F1}">
                              <asvg:svgBlip xmlns:asvg="http://schemas.microsoft.com/office/drawing/2016/SVG/main" r:embed="rId2"/>
                            </a:ext>
                          </a:extLst>
                        </a:blip>
                        <a:stretch>
                          <a:fillRect/>
                        </a:stretch>
                      </pic:blipFill>
                      <pic:spPr>
                        <a:xfrm rot="10800000" flipV="1">
                          <a:off x="0" y="0"/>
                          <a:ext cx="155074" cy="155074"/>
                        </a:xfrm>
                        <a:prstGeom prst="rect">
                          <a:avLst/>
                        </a:prstGeom>
                      </pic:spPr>
                    </pic:pic>
                  </a:graphicData>
                </a:graphic>
              </wp:inline>
            </w:drawing>
          </w:r>
          <w:r w:rsidRPr="00257B18">
            <w:rPr>
              <w:rFonts w:ascii="Baskerville Old Face" w:hAnsi="Baskerville Old Face"/>
              <w:caps/>
              <w:color w:val="FFFFFF" w:themeColor="background1"/>
              <w:sz w:val="18"/>
              <w:szCs w:val="18"/>
            </w:rPr>
            <w:t xml:space="preserve"> </w:t>
          </w:r>
          <w:r w:rsidR="00A842EB">
            <w:rPr>
              <w:rFonts w:ascii="Baskerville Old Face" w:hAnsi="Baskerville Old Face"/>
              <w:caps/>
              <w:color w:val="FFFFFF" w:themeColor="background1"/>
              <w:sz w:val="18"/>
              <w:szCs w:val="18"/>
            </w:rPr>
            <w:t>dawn@the</w:t>
          </w:r>
          <w:r w:rsidRPr="00257B18">
            <w:rPr>
              <w:rFonts w:ascii="Baskerville Old Face" w:hAnsi="Baskerville Old Face"/>
              <w:caps/>
              <w:color w:val="FFFFFF" w:themeColor="background1"/>
              <w:sz w:val="18"/>
              <w:szCs w:val="18"/>
            </w:rPr>
            <w:t xml:space="preserve">cleansort.ca                                                                  </w:t>
          </w:r>
        </w:p>
      </w:tc>
      <w:tc>
        <w:tcPr>
          <w:tcW w:w="2352" w:type="pct"/>
          <w:shd w:val="clear" w:color="auto" w:fill="FF2674"/>
          <w:vAlign w:val="center"/>
        </w:tcPr>
        <w:p w14:paraId="33A78392" w14:textId="017A8863" w:rsidR="00057B3E" w:rsidRPr="00F26257" w:rsidRDefault="000D6418" w:rsidP="00F26257">
          <w:pPr>
            <w:pStyle w:val="Footer"/>
            <w:tabs>
              <w:tab w:val="clear" w:pos="4680"/>
              <w:tab w:val="clear" w:pos="9360"/>
            </w:tabs>
            <w:spacing w:before="80" w:after="80"/>
            <w:ind w:firstLine="194"/>
            <w:rPr>
              <w:rFonts w:ascii="Baskerville Old Face" w:hAnsi="Baskerville Old Face"/>
              <w:caps/>
              <w:color w:val="FFFFFF" w:themeColor="background1"/>
              <w:sz w:val="20"/>
              <w:szCs w:val="20"/>
            </w:rPr>
          </w:pPr>
          <w:r w:rsidRPr="00257B18">
            <w:rPr>
              <w:caps/>
              <w:color w:val="FFFFFF" w:themeColor="background1"/>
              <w:sz w:val="18"/>
              <w:szCs w:val="18"/>
            </w:rPr>
            <w:t xml:space="preserve">                                                                                  </w:t>
          </w:r>
          <w:r w:rsidR="00633C34" w:rsidRPr="00F26257">
            <w:rPr>
              <w:caps/>
              <w:noProof/>
              <w:color w:val="FFFFFF" w:themeColor="background1"/>
              <w:sz w:val="20"/>
              <w:szCs w:val="20"/>
            </w:rPr>
            <w:drawing>
              <wp:inline distT="0" distB="0" distL="0" distR="0" wp14:anchorId="54CEDFD5" wp14:editId="1AA63915">
                <wp:extent cx="124691" cy="124691"/>
                <wp:effectExtent l="0" t="0" r="8890" b="8890"/>
                <wp:docPr id="268278568"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8568" name="Graphic 268278568" descr="Receiver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148290" cy="148290"/>
                        </a:xfrm>
                        <a:prstGeom prst="rect">
                          <a:avLst/>
                        </a:prstGeom>
                      </pic:spPr>
                    </pic:pic>
                  </a:graphicData>
                </a:graphic>
              </wp:inline>
            </w:drawing>
          </w:r>
          <w:r w:rsidRPr="00F26257">
            <w:rPr>
              <w:caps/>
              <w:color w:val="FFFFFF" w:themeColor="background1"/>
              <w:sz w:val="20"/>
              <w:szCs w:val="20"/>
            </w:rPr>
            <w:t xml:space="preserve">      </w:t>
          </w:r>
          <w:r w:rsidRPr="00F26257">
            <w:rPr>
              <w:rFonts w:ascii="Baskerville Old Face" w:hAnsi="Baskerville Old Face"/>
              <w:caps/>
              <w:color w:val="FFFFFF" w:themeColor="background1"/>
              <w:sz w:val="20"/>
              <w:szCs w:val="20"/>
            </w:rPr>
            <w:t>672-983-6660</w:t>
          </w:r>
        </w:p>
      </w:tc>
    </w:tr>
  </w:tbl>
  <w:p w14:paraId="6F861DB5" w14:textId="77777777" w:rsidR="00057B3E" w:rsidRDefault="0005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1910" w14:textId="77777777" w:rsidR="00657B40" w:rsidRDefault="0065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D1F0" w14:textId="77777777" w:rsidR="00FE2521" w:rsidRDefault="00FE2521" w:rsidP="001D36DC">
      <w:pPr>
        <w:spacing w:after="0" w:line="240" w:lineRule="auto"/>
      </w:pPr>
      <w:r>
        <w:separator/>
      </w:r>
    </w:p>
  </w:footnote>
  <w:footnote w:type="continuationSeparator" w:id="0">
    <w:p w14:paraId="517BE32E" w14:textId="77777777" w:rsidR="00FE2521" w:rsidRDefault="00FE2521" w:rsidP="001D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8CFC" w14:textId="77777777" w:rsidR="00657B40" w:rsidRDefault="00657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569B" w14:textId="5362A114" w:rsidR="001D36DC" w:rsidRDefault="001D36DC">
    <w:pPr>
      <w:pStyle w:val="Header"/>
    </w:pPr>
    <w:r>
      <w:rPr>
        <w:noProof/>
      </w:rPr>
      <mc:AlternateContent>
        <mc:Choice Requires="wps">
          <w:drawing>
            <wp:anchor distT="0" distB="0" distL="118745" distR="118745" simplePos="0" relativeHeight="251659264" behindDoc="1" locked="0" layoutInCell="1" allowOverlap="0" wp14:anchorId="02CA45CE" wp14:editId="7BE8F94D">
              <wp:simplePos x="0" y="0"/>
              <wp:positionH relativeFrom="page">
                <wp:align>right</wp:align>
              </wp:positionH>
              <wp:positionV relativeFrom="page">
                <wp:posOffset>450215</wp:posOffset>
              </wp:positionV>
              <wp:extent cx="7765415" cy="228600"/>
              <wp:effectExtent l="0" t="0" r="6985" b="0"/>
              <wp:wrapSquare wrapText="bothSides"/>
              <wp:docPr id="197" name="Rectangle 200"/>
              <wp:cNvGraphicFramePr/>
              <a:graphic xmlns:a="http://schemas.openxmlformats.org/drawingml/2006/main">
                <a:graphicData uri="http://schemas.microsoft.com/office/word/2010/wordprocessingShape">
                  <wps:wsp>
                    <wps:cNvSpPr/>
                    <wps:spPr>
                      <a:xfrm>
                        <a:off x="0" y="0"/>
                        <a:ext cx="7765415" cy="228600"/>
                      </a:xfrm>
                      <a:prstGeom prst="rect">
                        <a:avLst/>
                      </a:prstGeom>
                      <a:solidFill>
                        <a:srgbClr val="FF267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EE000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FF2674"/>
                            </w:rPr>
                          </w:sdtEndPr>
                          <w:sdtContent>
                            <w:p w14:paraId="359DB018" w14:textId="29A58462" w:rsidR="001D36DC" w:rsidRDefault="000F0917" w:rsidP="001D36DC">
                              <w:pPr>
                                <w:pStyle w:val="Header"/>
                                <w:tabs>
                                  <w:tab w:val="clear" w:pos="4680"/>
                                  <w:tab w:val="clear" w:pos="9360"/>
                                </w:tabs>
                                <w:rPr>
                                  <w:caps/>
                                  <w:color w:val="FFFFFF" w:themeColor="background1"/>
                                </w:rPr>
                              </w:pPr>
                              <w:r>
                                <w:rPr>
                                  <w:caps/>
                                  <w:color w:val="EE000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A45CE" id="Rectangle 200" o:spid="_x0000_s1026" style="position:absolute;margin-left:560.25pt;margin-top:35.45pt;width:611.45pt;height:18pt;z-index:-251657216;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OsiAIAAGoFAAAOAAAAZHJzL2Uyb0RvYy54bWysVEtv2zAMvg/YfxB0X+wYeXRBnSJokWFA&#10;0BZrh54VWYoNyKImKbGzXz9KfqTrih2G5aBQ4sePD5O8vmlrRU7Cugp0TqeTlBKhORSVPuT0+/P2&#10;0xUlzjNdMAVa5PQsHL1Zf/xw3ZiVyKAEVQhLkES7VWNyWnpvVknieClq5iZghEalBFszj1d7SArL&#10;GmSvVZKl6SJpwBbGAhfO4etdp6TryC+l4P5BSic8UTnF2Hw8bTz34UzW12x1sMyUFe/DYP8QRc0q&#10;jU5HqjvmGTna6g+quuIWHEg/4VAnIGXFRcwBs5mmb7J5KpkRMRcsjjNjmdz/o+X3pyfzaLEMjXEr&#10;h2LIopW2Dv8YH2ljsc5jsUTrCcfH5XIxn03nlHDUZdnVIo3VTC7Wxjr/RUBNgpBTix8j1oidds6j&#10;R4QOkODMgaqKbaVUvNjD/lZZcmL44bbbbLGchW+FJr/BlA5gDcGsU4eX5JJLlPxZiYBT+puQpCow&#10;+ixGEttMjH4Y50L7aacqWSE69/MUf4P30JjBIsYSCQOzRP8jd08wIDuSgbuLsscHUxG7dDRO/xZY&#10;ZzxaRM+g/WhcVxrsewQKs+o9d/ihSF1pQpV8u28REsQ9FOdHSyx04+IM31b4CXfM+UdmcT5wknDm&#10;/QMeUkGTU+glSkqwP997D3hsW9RS0uC85dT9ODIrKFFfNTb05+lsFgY0XmbzZYYX+1qzf63Rx/oW&#10;sDOmuF0Mj2LAezWI0kL9gqthE7yiimmOvnPKvR0ut77bA7hcuNhsIgyH0jC/00+GB/JQ4NCiz+0L&#10;s6bvY48TcA/DbLLVm3busMFSw+boQVax1y917UuPAx17qF8+YWO8vkfUZUWufwEAAP//AwBQSwME&#10;FAAGAAgAAAAhAFuDjFfeAAAACAEAAA8AAABkcnMvZG93bnJldi54bWxMj8FOwzAQRO9I/IO1SNyo&#10;3SC5NMSpEBJwQIK24cLNjZckIl5HsdsGvp7tqdxmNaPZN8Vq8r044Bi7QAbmMwUCqQ6uo8bAR/V0&#10;cwciJkvO9oHQwA9GWJWXF4XNXTjSBg/b1AguoZhbA21KQy5lrFv0Ns7CgMTeVxi9TXyOjXSjPXK5&#10;72WmlJbedsQfWjvgY4v193bvDbyuJ30bnucvn/rtXf9uusqvF5Ux11fTwz2IhFM6h+GEz+hQMtMu&#10;7MlF0RvgIcnAQi1BnNwsy1jtWCm9BFkW8v+A8g8AAP//AwBQSwECLQAUAAYACAAAACEAtoM4kv4A&#10;AADhAQAAEwAAAAAAAAAAAAAAAAAAAAAAW0NvbnRlbnRfVHlwZXNdLnhtbFBLAQItABQABgAIAAAA&#10;IQA4/SH/1gAAAJQBAAALAAAAAAAAAAAAAAAAAC8BAABfcmVscy8ucmVsc1BLAQItABQABgAIAAAA&#10;IQAIEMOsiAIAAGoFAAAOAAAAAAAAAAAAAAAAAC4CAABkcnMvZTJvRG9jLnhtbFBLAQItABQABgAI&#10;AAAAIQBbg4xX3gAAAAgBAAAPAAAAAAAAAAAAAAAAAOIEAABkcnMvZG93bnJldi54bWxQSwUGAAAA&#10;AAQABADzAAAA7QUAAAAA&#10;" o:allowoverlap="f" fillcolor="#ff2674" stroked="f" strokeweight="1pt">
              <v:textbox>
                <w:txbxContent>
                  <w:sdt>
                    <w:sdtPr>
                      <w:rPr>
                        <w:caps/>
                        <w:color w:val="EE000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FF2674"/>
                      </w:rPr>
                    </w:sdtEndPr>
                    <w:sdtContent>
                      <w:p w14:paraId="359DB018" w14:textId="29A58462" w:rsidR="001D36DC" w:rsidRDefault="000F0917" w:rsidP="001D36DC">
                        <w:pPr>
                          <w:pStyle w:val="Header"/>
                          <w:tabs>
                            <w:tab w:val="clear" w:pos="4680"/>
                            <w:tab w:val="clear" w:pos="9360"/>
                          </w:tabs>
                          <w:rPr>
                            <w:caps/>
                            <w:color w:val="FFFFFF" w:themeColor="background1"/>
                          </w:rPr>
                        </w:pPr>
                        <w:r>
                          <w:rPr>
                            <w:caps/>
                            <w:color w:val="EE0000"/>
                          </w:rPr>
                          <w:t xml:space="preserve">     </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20A3" w14:textId="77777777" w:rsidR="00657B40" w:rsidRDefault="0065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929"/>
    <w:multiLevelType w:val="hybridMultilevel"/>
    <w:tmpl w:val="52168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2F4363"/>
    <w:multiLevelType w:val="hybridMultilevel"/>
    <w:tmpl w:val="EACE6F5A"/>
    <w:lvl w:ilvl="0" w:tplc="10090001">
      <w:start w:val="1"/>
      <w:numFmt w:val="bullet"/>
      <w:lvlText w:val=""/>
      <w:lvlJc w:val="left"/>
      <w:pPr>
        <w:ind w:left="1505" w:hanging="360"/>
      </w:pPr>
      <w:rPr>
        <w:rFonts w:ascii="Symbol" w:hAnsi="Symbol"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 w15:restartNumberingAfterBreak="0">
    <w:nsid w:val="3A813951"/>
    <w:multiLevelType w:val="multilevel"/>
    <w:tmpl w:val="4EDA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C3C20"/>
    <w:multiLevelType w:val="hybridMultilevel"/>
    <w:tmpl w:val="E92E3D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7463107">
    <w:abstractNumId w:val="3"/>
  </w:num>
  <w:num w:numId="2" w16cid:durableId="1262643691">
    <w:abstractNumId w:val="2"/>
  </w:num>
  <w:num w:numId="3" w16cid:durableId="788351294">
    <w:abstractNumId w:val="1"/>
  </w:num>
  <w:num w:numId="4" w16cid:durableId="7776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A2"/>
    <w:rsid w:val="000113DE"/>
    <w:rsid w:val="00014952"/>
    <w:rsid w:val="000310D2"/>
    <w:rsid w:val="00057B3E"/>
    <w:rsid w:val="0007544E"/>
    <w:rsid w:val="000802AA"/>
    <w:rsid w:val="000A2911"/>
    <w:rsid w:val="000A6618"/>
    <w:rsid w:val="000D5C6A"/>
    <w:rsid w:val="000D6418"/>
    <w:rsid w:val="000E5293"/>
    <w:rsid w:val="000F0917"/>
    <w:rsid w:val="00127687"/>
    <w:rsid w:val="001625E7"/>
    <w:rsid w:val="00180FAC"/>
    <w:rsid w:val="001A2576"/>
    <w:rsid w:val="001D36DC"/>
    <w:rsid w:val="001D5511"/>
    <w:rsid w:val="0021132D"/>
    <w:rsid w:val="00237CC5"/>
    <w:rsid w:val="00242E35"/>
    <w:rsid w:val="00246104"/>
    <w:rsid w:val="00257B18"/>
    <w:rsid w:val="0027366C"/>
    <w:rsid w:val="00275320"/>
    <w:rsid w:val="002B2B81"/>
    <w:rsid w:val="00306B6C"/>
    <w:rsid w:val="00307E41"/>
    <w:rsid w:val="00324701"/>
    <w:rsid w:val="00330D1E"/>
    <w:rsid w:val="003419C1"/>
    <w:rsid w:val="0035032B"/>
    <w:rsid w:val="00354DE7"/>
    <w:rsid w:val="0036381E"/>
    <w:rsid w:val="00395929"/>
    <w:rsid w:val="003C4C78"/>
    <w:rsid w:val="003D383D"/>
    <w:rsid w:val="003F497E"/>
    <w:rsid w:val="004010CF"/>
    <w:rsid w:val="00401B16"/>
    <w:rsid w:val="004446F9"/>
    <w:rsid w:val="004544FC"/>
    <w:rsid w:val="00481AC4"/>
    <w:rsid w:val="004E26F6"/>
    <w:rsid w:val="004F3147"/>
    <w:rsid w:val="00510A1F"/>
    <w:rsid w:val="00516D3F"/>
    <w:rsid w:val="00543270"/>
    <w:rsid w:val="005A7A94"/>
    <w:rsid w:val="005B50DB"/>
    <w:rsid w:val="005C12E6"/>
    <w:rsid w:val="005D60AF"/>
    <w:rsid w:val="005E2BF8"/>
    <w:rsid w:val="005F3E9E"/>
    <w:rsid w:val="006048C1"/>
    <w:rsid w:val="00621DB5"/>
    <w:rsid w:val="00633C34"/>
    <w:rsid w:val="00652F1B"/>
    <w:rsid w:val="00657B40"/>
    <w:rsid w:val="00691863"/>
    <w:rsid w:val="006A6EDD"/>
    <w:rsid w:val="006D0AF0"/>
    <w:rsid w:val="006D519E"/>
    <w:rsid w:val="006F0B3A"/>
    <w:rsid w:val="00734968"/>
    <w:rsid w:val="00745169"/>
    <w:rsid w:val="007638DA"/>
    <w:rsid w:val="007964B9"/>
    <w:rsid w:val="007B29F5"/>
    <w:rsid w:val="007D636A"/>
    <w:rsid w:val="007E5061"/>
    <w:rsid w:val="007F5132"/>
    <w:rsid w:val="00861821"/>
    <w:rsid w:val="00877BD5"/>
    <w:rsid w:val="008F7021"/>
    <w:rsid w:val="00902646"/>
    <w:rsid w:val="009037B3"/>
    <w:rsid w:val="009278D6"/>
    <w:rsid w:val="0093570D"/>
    <w:rsid w:val="009513DB"/>
    <w:rsid w:val="009544F9"/>
    <w:rsid w:val="00967A1E"/>
    <w:rsid w:val="00970D57"/>
    <w:rsid w:val="009A11CC"/>
    <w:rsid w:val="009B1F6E"/>
    <w:rsid w:val="009B708F"/>
    <w:rsid w:val="009F26BC"/>
    <w:rsid w:val="009F412D"/>
    <w:rsid w:val="009F4910"/>
    <w:rsid w:val="00A029BA"/>
    <w:rsid w:val="00A2519F"/>
    <w:rsid w:val="00A31ACF"/>
    <w:rsid w:val="00A734E1"/>
    <w:rsid w:val="00A842EB"/>
    <w:rsid w:val="00AC54F2"/>
    <w:rsid w:val="00AD148C"/>
    <w:rsid w:val="00AD6321"/>
    <w:rsid w:val="00AE7C1B"/>
    <w:rsid w:val="00AF17C8"/>
    <w:rsid w:val="00B2498D"/>
    <w:rsid w:val="00B32F4E"/>
    <w:rsid w:val="00B410AA"/>
    <w:rsid w:val="00B73B17"/>
    <w:rsid w:val="00B95F69"/>
    <w:rsid w:val="00BA6E50"/>
    <w:rsid w:val="00BB5295"/>
    <w:rsid w:val="00BD7A6C"/>
    <w:rsid w:val="00BF2CA4"/>
    <w:rsid w:val="00C11E60"/>
    <w:rsid w:val="00C46BCD"/>
    <w:rsid w:val="00CB4854"/>
    <w:rsid w:val="00CF4A44"/>
    <w:rsid w:val="00D233B4"/>
    <w:rsid w:val="00D34A44"/>
    <w:rsid w:val="00D35325"/>
    <w:rsid w:val="00D71AE4"/>
    <w:rsid w:val="00D72E25"/>
    <w:rsid w:val="00D761A4"/>
    <w:rsid w:val="00D771B3"/>
    <w:rsid w:val="00D86081"/>
    <w:rsid w:val="00DB4663"/>
    <w:rsid w:val="00DB6B9D"/>
    <w:rsid w:val="00DC12F5"/>
    <w:rsid w:val="00DD5DFF"/>
    <w:rsid w:val="00DE0871"/>
    <w:rsid w:val="00DF51ED"/>
    <w:rsid w:val="00E40C9A"/>
    <w:rsid w:val="00E8293B"/>
    <w:rsid w:val="00E83120"/>
    <w:rsid w:val="00E948C1"/>
    <w:rsid w:val="00EA3C5F"/>
    <w:rsid w:val="00EB2239"/>
    <w:rsid w:val="00F1039E"/>
    <w:rsid w:val="00F26257"/>
    <w:rsid w:val="00F65410"/>
    <w:rsid w:val="00F726E5"/>
    <w:rsid w:val="00F86668"/>
    <w:rsid w:val="00F918F0"/>
    <w:rsid w:val="00F96CA2"/>
    <w:rsid w:val="00FA1C76"/>
    <w:rsid w:val="00FC76F6"/>
    <w:rsid w:val="00FE2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0374"/>
  <w15:chartTrackingRefBased/>
  <w15:docId w15:val="{2C3E654A-8872-4149-AC50-668779FD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A2"/>
    <w:rPr>
      <w:rFonts w:eastAsiaTheme="majorEastAsia" w:cstheme="majorBidi"/>
      <w:color w:val="272727" w:themeColor="text1" w:themeTint="D8"/>
    </w:rPr>
  </w:style>
  <w:style w:type="paragraph" w:styleId="Title">
    <w:name w:val="Title"/>
    <w:basedOn w:val="Normal"/>
    <w:next w:val="Normal"/>
    <w:link w:val="TitleChar"/>
    <w:uiPriority w:val="10"/>
    <w:qFormat/>
    <w:rsid w:val="00F9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A2"/>
    <w:pPr>
      <w:spacing w:before="160"/>
      <w:jc w:val="center"/>
    </w:pPr>
    <w:rPr>
      <w:i/>
      <w:iCs/>
      <w:color w:val="404040" w:themeColor="text1" w:themeTint="BF"/>
    </w:rPr>
  </w:style>
  <w:style w:type="character" w:customStyle="1" w:styleId="QuoteChar">
    <w:name w:val="Quote Char"/>
    <w:basedOn w:val="DefaultParagraphFont"/>
    <w:link w:val="Quote"/>
    <w:uiPriority w:val="29"/>
    <w:rsid w:val="00F96CA2"/>
    <w:rPr>
      <w:i/>
      <w:iCs/>
      <w:color w:val="404040" w:themeColor="text1" w:themeTint="BF"/>
    </w:rPr>
  </w:style>
  <w:style w:type="paragraph" w:styleId="ListParagraph">
    <w:name w:val="List Paragraph"/>
    <w:basedOn w:val="Normal"/>
    <w:uiPriority w:val="34"/>
    <w:qFormat/>
    <w:rsid w:val="00F96CA2"/>
    <w:pPr>
      <w:ind w:left="720"/>
      <w:contextualSpacing/>
    </w:pPr>
  </w:style>
  <w:style w:type="character" w:styleId="IntenseEmphasis">
    <w:name w:val="Intense Emphasis"/>
    <w:basedOn w:val="DefaultParagraphFont"/>
    <w:uiPriority w:val="21"/>
    <w:qFormat/>
    <w:rsid w:val="00F96CA2"/>
    <w:rPr>
      <w:i/>
      <w:iCs/>
      <w:color w:val="0F4761" w:themeColor="accent1" w:themeShade="BF"/>
    </w:rPr>
  </w:style>
  <w:style w:type="paragraph" w:styleId="IntenseQuote">
    <w:name w:val="Intense Quote"/>
    <w:basedOn w:val="Normal"/>
    <w:next w:val="Normal"/>
    <w:link w:val="IntenseQuoteChar"/>
    <w:uiPriority w:val="30"/>
    <w:qFormat/>
    <w:rsid w:val="00F9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CA2"/>
    <w:rPr>
      <w:i/>
      <w:iCs/>
      <w:color w:val="0F4761" w:themeColor="accent1" w:themeShade="BF"/>
    </w:rPr>
  </w:style>
  <w:style w:type="character" w:styleId="IntenseReference">
    <w:name w:val="Intense Reference"/>
    <w:basedOn w:val="DefaultParagraphFont"/>
    <w:uiPriority w:val="32"/>
    <w:qFormat/>
    <w:rsid w:val="00F96CA2"/>
    <w:rPr>
      <w:b/>
      <w:bCs/>
      <w:smallCaps/>
      <w:color w:val="0F4761" w:themeColor="accent1" w:themeShade="BF"/>
      <w:spacing w:val="5"/>
    </w:rPr>
  </w:style>
  <w:style w:type="table" w:styleId="TableGrid">
    <w:name w:val="Table Grid"/>
    <w:basedOn w:val="TableNormal"/>
    <w:uiPriority w:val="39"/>
    <w:rsid w:val="0073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349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DC"/>
  </w:style>
  <w:style w:type="paragraph" w:styleId="Footer">
    <w:name w:val="footer"/>
    <w:basedOn w:val="Normal"/>
    <w:link w:val="FooterChar"/>
    <w:uiPriority w:val="99"/>
    <w:unhideWhenUsed/>
    <w:rsid w:val="001D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DAD8-6D1A-495E-B82C-D803A513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705</Words>
  <Characters>4050</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jarabek</dc:creator>
  <cp:keywords/>
  <dc:description/>
  <cp:lastModifiedBy>dawn jarabek</cp:lastModifiedBy>
  <cp:revision>4</cp:revision>
  <cp:lastPrinted>2026-03-31T03:25:00Z</cp:lastPrinted>
  <dcterms:created xsi:type="dcterms:W3CDTF">2026-04-01T03:33:00Z</dcterms:created>
  <dcterms:modified xsi:type="dcterms:W3CDTF">2026-04-03T15:30:00Z</dcterms:modified>
</cp:coreProperties>
</file>